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5" w:rsidRDefault="00386C75">
      <w:pPr>
        <w:rPr>
          <w:lang w:val="uk-UA"/>
        </w:rPr>
      </w:pPr>
    </w:p>
    <w:p w:rsidR="007556C1" w:rsidRPr="007556C1" w:rsidRDefault="007556C1" w:rsidP="007556C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Довідка</w:t>
      </w:r>
    </w:p>
    <w:p w:rsidR="007556C1" w:rsidRPr="007556C1" w:rsidRDefault="007556C1" w:rsidP="007556C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результати проходження зовнішнього незалежного оцінювання випускник</w:t>
      </w:r>
      <w:r w:rsidR="00B536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ами </w:t>
      </w: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</w:t>
      </w:r>
      <w:r w:rsidR="00D0690E">
        <w:rPr>
          <w:rFonts w:ascii="Times New Roman" w:hAnsi="Times New Roman" w:cs="Times New Roman"/>
          <w:b/>
          <w:i/>
          <w:sz w:val="28"/>
          <w:szCs w:val="28"/>
          <w:lang w:val="uk-UA"/>
        </w:rPr>
        <w:t>адів</w:t>
      </w:r>
      <w:r w:rsidR="00B536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загальної середньої освіти</w:t>
      </w:r>
      <w:r w:rsidR="00D069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0690E">
        <w:rPr>
          <w:rFonts w:ascii="Times New Roman" w:hAnsi="Times New Roman" w:cs="Times New Roman"/>
          <w:b/>
          <w:i/>
          <w:sz w:val="28"/>
          <w:szCs w:val="28"/>
          <w:lang w:val="uk-UA"/>
        </w:rPr>
        <w:t>Нікольського</w:t>
      </w:r>
      <w:proofErr w:type="spellEnd"/>
      <w:r w:rsidR="00D069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району в 2018</w:t>
      </w: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році”</w:t>
      </w:r>
    </w:p>
    <w:p w:rsidR="007556C1" w:rsidRPr="007556C1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sz w:val="28"/>
          <w:szCs w:val="28"/>
          <w:lang w:val="uk-UA"/>
        </w:rPr>
        <w:t>Зовнішнє незалежне оцінювання є не лише іспитом для вступу у вищі навчальні заклади, а й формою складання Державної підсумкової атестації.</w:t>
      </w:r>
    </w:p>
    <w:p w:rsidR="007556C1" w:rsidRPr="007556C1" w:rsidRDefault="007556C1" w:rsidP="007556C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sz w:val="28"/>
          <w:szCs w:val="28"/>
          <w:lang w:val="uk-UA"/>
        </w:rPr>
        <w:t>Мета зовнішнього незалежного оцінювання: підвищення рівня освіти населення України та забезпечення реалізації конституційних прав громадян на рівний доступ до якісної освіти, здійснення контролю за дотриманням Державного стандарту базової і повної середньої освіти й аналізу стану системи освіти, прогнозування її розвитку.</w:t>
      </w:r>
    </w:p>
    <w:p w:rsidR="007556C1" w:rsidRPr="007556C1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690E">
        <w:rPr>
          <w:rFonts w:ascii="Times New Roman" w:hAnsi="Times New Roman" w:cs="Times New Roman"/>
          <w:sz w:val="28"/>
          <w:szCs w:val="28"/>
        </w:rPr>
        <w:t xml:space="preserve"> 201</w:t>
      </w:r>
      <w:r w:rsidR="00D069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зарах</w:t>
      </w:r>
      <w:r w:rsidRPr="007556C1">
        <w:rPr>
          <w:rFonts w:ascii="Times New Roman" w:hAnsi="Times New Roman" w:cs="Times New Roman"/>
          <w:sz w:val="28"/>
          <w:szCs w:val="28"/>
          <w:lang w:val="uk-UA"/>
        </w:rPr>
        <w:t>овували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ЗНО. Перший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предмет —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556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556C1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D0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90E">
        <w:rPr>
          <w:rFonts w:ascii="Times New Roman" w:hAnsi="Times New Roman" w:cs="Times New Roman"/>
          <w:sz w:val="28"/>
          <w:szCs w:val="28"/>
        </w:rPr>
        <w:t>обов'язкового</w:t>
      </w:r>
      <w:proofErr w:type="spellEnd"/>
      <w:r w:rsidR="00D0690E">
        <w:rPr>
          <w:rFonts w:ascii="Times New Roman" w:hAnsi="Times New Roman" w:cs="Times New Roman"/>
          <w:sz w:val="28"/>
          <w:szCs w:val="28"/>
        </w:rPr>
        <w:t xml:space="preserve"> предмета ЗНО-201</w:t>
      </w:r>
      <w:r w:rsidR="00D069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альтернативу </w:t>
      </w:r>
      <w:proofErr w:type="spellStart"/>
      <w:proofErr w:type="gramStart"/>
      <w:r w:rsidRPr="007556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56C1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математикою та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математика, </w:t>
      </w:r>
      <w:proofErr w:type="spellStart"/>
      <w:proofErr w:type="gramStart"/>
      <w:r w:rsidRPr="007556C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556C1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іспанська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фран</w:t>
      </w:r>
      <w:r w:rsidR="00B5365A">
        <w:rPr>
          <w:rFonts w:ascii="Times New Roman" w:hAnsi="Times New Roman" w:cs="Times New Roman"/>
          <w:sz w:val="28"/>
          <w:szCs w:val="28"/>
        </w:rPr>
        <w:t>цузька</w:t>
      </w:r>
      <w:proofErr w:type="spellEnd"/>
      <w:r w:rsidR="00B53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65A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хімія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 w:rsidRPr="007556C1">
        <w:rPr>
          <w:rFonts w:ascii="Times New Roman" w:hAnsi="Times New Roman" w:cs="Times New Roman"/>
          <w:sz w:val="28"/>
          <w:szCs w:val="28"/>
        </w:rPr>
        <w:t>).</w:t>
      </w:r>
    </w:p>
    <w:p w:rsidR="007556C1" w:rsidRPr="007556C1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sz w:val="28"/>
          <w:szCs w:val="28"/>
          <w:lang w:val="uk-UA"/>
        </w:rPr>
        <w:t>Важливо кожного року аналізувати результати тестування учнів, виявляти помилки та опрацьовувати можливі варіанти покращення рівня якості освіти.</w:t>
      </w:r>
    </w:p>
    <w:p w:rsidR="007556C1" w:rsidRPr="007556C1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sz w:val="28"/>
          <w:szCs w:val="28"/>
          <w:lang w:val="uk-UA"/>
        </w:rPr>
        <w:t>Інформаційним освітнім ресурсом «Освіта.</w:t>
      </w:r>
      <w:proofErr w:type="spellStart"/>
      <w:r w:rsidRPr="007556C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556C1">
        <w:rPr>
          <w:rFonts w:ascii="Times New Roman" w:hAnsi="Times New Roman" w:cs="Times New Roman"/>
          <w:sz w:val="28"/>
          <w:szCs w:val="28"/>
          <w:lang w:val="uk-UA"/>
        </w:rPr>
        <w:t>» складено рейтинг загальноосвітніх шкіл Донецької області</w:t>
      </w:r>
      <w:hyperlink r:id="rId7" w:history="1">
        <w:r w:rsidR="00D0690E">
          <w:rPr>
            <w:rFonts w:ascii="Times New Roman" w:hAnsi="Times New Roman" w:cs="Times New Roman"/>
            <w:sz w:val="28"/>
            <w:szCs w:val="28"/>
            <w:lang w:val="uk-UA"/>
          </w:rPr>
          <w:t xml:space="preserve"> за підсумками ЗНО 2018</w:t>
        </w:r>
        <w:r w:rsidRPr="007556C1">
          <w:rPr>
            <w:rFonts w:ascii="Times New Roman" w:hAnsi="Times New Roman" w:cs="Times New Roman"/>
            <w:sz w:val="28"/>
            <w:szCs w:val="28"/>
            <w:lang w:val="uk-UA"/>
          </w:rPr>
          <w:t xml:space="preserve"> року</w:t>
        </w:r>
      </w:hyperlink>
      <w:r w:rsidRPr="007556C1">
        <w:rPr>
          <w:rFonts w:ascii="Times New Roman" w:hAnsi="Times New Roman" w:cs="Times New Roman"/>
          <w:sz w:val="28"/>
          <w:szCs w:val="28"/>
          <w:lang w:val="uk-UA"/>
        </w:rPr>
        <w:t>. У якості вихідних даних для укладання рейтингу</w:t>
      </w:r>
      <w:r w:rsidR="00B5365A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7556C1">
        <w:rPr>
          <w:rFonts w:ascii="Times New Roman" w:hAnsi="Times New Roman" w:cs="Times New Roman"/>
          <w:sz w:val="28"/>
          <w:szCs w:val="28"/>
          <w:lang w:val="uk-UA"/>
        </w:rPr>
        <w:t xml:space="preserve"> були використані результати </w:t>
      </w:r>
      <w:hyperlink r:id="rId8" w:history="1">
        <w:r w:rsidRPr="007556C1">
          <w:rPr>
            <w:rFonts w:ascii="Times New Roman" w:hAnsi="Times New Roman" w:cs="Times New Roman"/>
            <w:sz w:val="28"/>
            <w:szCs w:val="28"/>
            <w:lang w:val="uk-UA"/>
          </w:rPr>
          <w:t>зовнішнього незалежного оцінювання</w:t>
        </w:r>
      </w:hyperlink>
      <w:r w:rsidRPr="007556C1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D0690E">
        <w:rPr>
          <w:rFonts w:ascii="Times New Roman" w:hAnsi="Times New Roman" w:cs="Times New Roman"/>
          <w:sz w:val="28"/>
          <w:szCs w:val="28"/>
          <w:lang w:val="uk-UA"/>
        </w:rPr>
        <w:t>тримані випускниками шкіл у 2018</w:t>
      </w:r>
      <w:r w:rsidRPr="007556C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6D0C5F">
        <w:rPr>
          <w:rFonts w:ascii="Times New Roman" w:hAnsi="Times New Roman" w:cs="Times New Roman"/>
          <w:sz w:val="28"/>
          <w:szCs w:val="28"/>
          <w:lang w:val="uk-UA"/>
        </w:rPr>
        <w:t xml:space="preserve">. В таблиці 1 представлена вибірка закладів </w:t>
      </w:r>
      <w:proofErr w:type="spellStart"/>
      <w:r w:rsidR="006D0C5F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="006D0C5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bookmarkStart w:id="0" w:name="_GoBack"/>
      <w:bookmarkEnd w:id="0"/>
      <w:r w:rsidRPr="00755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6C1" w:rsidRDefault="006D0C5F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в рейтингу</w:t>
      </w:r>
      <w:r w:rsidR="007556C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результати ЗНО 483 ЗЗСО</w:t>
      </w:r>
      <w:r w:rsidR="007556C1" w:rsidRPr="007556C1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</w:t>
      </w:r>
      <w:r w:rsidR="007556C1" w:rsidRPr="007556C1">
        <w:rPr>
          <w:lang w:val="uk-UA"/>
        </w:rPr>
        <w:t xml:space="preserve"> </w:t>
      </w:r>
      <w:r w:rsidR="007556C1">
        <w:rPr>
          <w:rFonts w:ascii="Times New Roman" w:hAnsi="Times New Roman" w:cs="Times New Roman"/>
          <w:sz w:val="28"/>
          <w:szCs w:val="28"/>
          <w:lang w:val="uk-UA"/>
        </w:rPr>
        <w:t>Навчальні заклади</w:t>
      </w:r>
      <w:r w:rsidR="007556C1" w:rsidRPr="007556C1">
        <w:rPr>
          <w:rFonts w:ascii="Times New Roman" w:hAnsi="Times New Roman" w:cs="Times New Roman"/>
          <w:sz w:val="28"/>
          <w:szCs w:val="28"/>
          <w:lang w:val="uk-UA"/>
        </w:rPr>
        <w:t xml:space="preserve"> у таб</w:t>
      </w:r>
      <w:r>
        <w:rPr>
          <w:rFonts w:ascii="Times New Roman" w:hAnsi="Times New Roman" w:cs="Times New Roman"/>
          <w:sz w:val="28"/>
          <w:szCs w:val="28"/>
          <w:lang w:val="uk-UA"/>
        </w:rPr>
        <w:t>лиці розташовані</w:t>
      </w:r>
      <w:r w:rsidR="007556C1" w:rsidRPr="007556C1">
        <w:rPr>
          <w:rFonts w:ascii="Times New Roman" w:hAnsi="Times New Roman" w:cs="Times New Roman"/>
          <w:sz w:val="28"/>
          <w:szCs w:val="28"/>
          <w:lang w:val="uk-UA"/>
        </w:rPr>
        <w:t xml:space="preserve"> за рейтинговим балом, який розрахований на підставі середнього значення балів зовнішнього незалежного оцінювання отриманих учасниками тестування з усіх предметів ЗНО та з урахуванням загальної кількості складених тестів випускниками кожної школи. </w:t>
      </w:r>
    </w:p>
    <w:p w:rsidR="008E27D3" w:rsidRDefault="008E27D3" w:rsidP="007556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90E" w:rsidRPr="007556C1" w:rsidRDefault="00D0690E" w:rsidP="00D0690E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386C75" w:rsidRDefault="00386C75">
      <w:pPr>
        <w:rPr>
          <w:lang w:val="uk-UA"/>
        </w:rPr>
      </w:pPr>
    </w:p>
    <w:tbl>
      <w:tblPr>
        <w:tblW w:w="8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784"/>
        <w:gridCol w:w="785"/>
        <w:gridCol w:w="822"/>
      </w:tblGrid>
      <w:tr w:rsidR="008C2683" w:rsidRPr="0083371A" w:rsidTr="008C2683">
        <w:trPr>
          <w:tblHeader/>
        </w:trPr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Місце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тесті</w:t>
            </w:r>
            <w:proofErr w:type="gram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Склав</w:t>
            </w:r>
            <w:proofErr w:type="spellEnd"/>
            <w:proofErr w:type="gramStart"/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(%)</w:t>
            </w:r>
            <w:proofErr w:type="gramEnd"/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Новокраснівська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Касянівська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Нікольської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3/9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Нікольська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№1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імені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Якименка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А.Д.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"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опорна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25/82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Зорянська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І-ІІІ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C2683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</w:pP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Нікольська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гімназія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Софія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" з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загальноосвітньою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школою І ст. №2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28/101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Зеленоярська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Тополинська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6/22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Республіканська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lastRenderedPageBreak/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Малоянисольська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І-ІІІ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імені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В.В. Балабана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Нікольської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Темрюцька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5/18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Кременівська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імені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братів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Зосіма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12/44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8C2683" w:rsidRPr="0083371A" w:rsidTr="008C2683">
        <w:tc>
          <w:tcPr>
            <w:tcW w:w="640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Кальчицька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ЗОШ I-III ст. </w:t>
            </w:r>
            <w:proofErr w:type="spellStart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кольської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райради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uk-UA" w:eastAsia="ru-RU"/>
              </w:rPr>
              <w:t>асті</w:t>
            </w:r>
            <w:proofErr w:type="spellEnd"/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7/24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8C2683" w:rsidRPr="0083371A" w:rsidRDefault="008C2683" w:rsidP="00D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ru-RU"/>
              </w:rPr>
              <w:t>54</w:t>
            </w:r>
          </w:p>
        </w:tc>
      </w:tr>
    </w:tbl>
    <w:p w:rsidR="00840E1B" w:rsidRDefault="00840E1B">
      <w:pPr>
        <w:rPr>
          <w:lang w:val="uk-UA"/>
        </w:rPr>
      </w:pPr>
    </w:p>
    <w:p w:rsidR="00840E1B" w:rsidRDefault="00E06DA7" w:rsidP="00C645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2017-2018 навчальному році тестування з української мови та літератури скла</w:t>
      </w:r>
      <w:r w:rsidR="006C63FA">
        <w:rPr>
          <w:rFonts w:ascii="Times New Roman" w:hAnsi="Times New Roman" w:cs="Times New Roman"/>
          <w:sz w:val="28"/>
          <w:szCs w:val="28"/>
          <w:lang w:val="uk-UA"/>
        </w:rPr>
        <w:t>да</w:t>
      </w:r>
      <w:r>
        <w:rPr>
          <w:rFonts w:ascii="Times New Roman" w:hAnsi="Times New Roman" w:cs="Times New Roman"/>
          <w:sz w:val="28"/>
          <w:szCs w:val="28"/>
          <w:lang w:val="uk-UA"/>
        </w:rPr>
        <w:t>ли 119 учнів</w:t>
      </w:r>
      <w:r w:rsidR="00843EB3">
        <w:rPr>
          <w:rFonts w:ascii="Times New Roman" w:hAnsi="Times New Roman" w:cs="Times New Roman"/>
          <w:sz w:val="28"/>
          <w:szCs w:val="28"/>
          <w:lang w:val="uk-UA"/>
        </w:rPr>
        <w:t>, з них 13 учнів не подолали поріг прохідного балу</w:t>
      </w:r>
      <w:r w:rsidR="008D27F1">
        <w:rPr>
          <w:rFonts w:ascii="Times New Roman" w:hAnsi="Times New Roman" w:cs="Times New Roman"/>
          <w:sz w:val="28"/>
          <w:szCs w:val="28"/>
          <w:lang w:val="uk-UA"/>
        </w:rPr>
        <w:t>, 30 учнів набрали від 160 балів і вище</w:t>
      </w:r>
      <w:r w:rsidR="00B84F87">
        <w:rPr>
          <w:rFonts w:ascii="Times New Roman" w:hAnsi="Times New Roman" w:cs="Times New Roman"/>
          <w:sz w:val="28"/>
          <w:szCs w:val="28"/>
          <w:lang w:val="uk-UA"/>
        </w:rPr>
        <w:t xml:space="preserve"> – це 25% випускників</w:t>
      </w:r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proofErr w:type="spellStart"/>
      <w:r w:rsidR="008A4443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«Софія», </w:t>
      </w:r>
      <w:proofErr w:type="spellStart"/>
      <w:r w:rsidR="008A4443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ЗОШ №1, </w:t>
      </w:r>
      <w:proofErr w:type="spellStart"/>
      <w:r w:rsidR="008A4443">
        <w:rPr>
          <w:rFonts w:ascii="Times New Roman" w:hAnsi="Times New Roman" w:cs="Times New Roman"/>
          <w:sz w:val="28"/>
          <w:szCs w:val="28"/>
          <w:lang w:val="uk-UA"/>
        </w:rPr>
        <w:t>Малоянисольської</w:t>
      </w:r>
      <w:proofErr w:type="spellEnd"/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="008A4443">
        <w:rPr>
          <w:rFonts w:ascii="Times New Roman" w:hAnsi="Times New Roman" w:cs="Times New Roman"/>
          <w:sz w:val="28"/>
          <w:szCs w:val="28"/>
          <w:lang w:val="uk-UA"/>
        </w:rPr>
        <w:t>Касянівської</w:t>
      </w:r>
      <w:proofErr w:type="spellEnd"/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ЗОШ набрали більше 180 балів.</w:t>
      </w:r>
      <w:r w:rsidR="003A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0E1B" w:rsidRDefault="00840E1B" w:rsidP="00C645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61AFA" wp14:editId="0975DD57">
            <wp:extent cx="4972050" cy="2914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22C" w:rsidRDefault="003A317C" w:rsidP="00840E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діаграмі представлені результати тестувань з української мови за 3 роки, аналізуючи які можна помітити збільшення кількості високих результатів.</w:t>
      </w:r>
    </w:p>
    <w:p w:rsidR="00840E1B" w:rsidRDefault="001312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16668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033"/>
        <w:gridCol w:w="1132"/>
        <w:gridCol w:w="917"/>
        <w:gridCol w:w="850"/>
        <w:gridCol w:w="851"/>
        <w:gridCol w:w="850"/>
        <w:gridCol w:w="851"/>
      </w:tblGrid>
      <w:tr w:rsidR="00840E1B" w:rsidTr="008E27D3">
        <w:tc>
          <w:tcPr>
            <w:tcW w:w="2835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033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132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</w:rPr>
            </w:pPr>
            <w:r w:rsidRPr="00840E1B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40E1B">
              <w:rPr>
                <w:rFonts w:ascii="Times New Roman" w:hAnsi="Times New Roman" w:cs="Times New Roman"/>
              </w:rPr>
              <w:t>подолали</w:t>
            </w:r>
            <w:proofErr w:type="spellEnd"/>
            <w:r w:rsidRPr="00840E1B">
              <w:rPr>
                <w:rFonts w:ascii="Times New Roman" w:hAnsi="Times New Roman" w:cs="Times New Roman"/>
              </w:rPr>
              <w:br/>
            </w:r>
            <w:proofErr w:type="spellStart"/>
            <w:r w:rsidRPr="00840E1B">
              <w:rPr>
                <w:rFonts w:ascii="Times New Roman" w:hAnsi="Times New Roman" w:cs="Times New Roman"/>
              </w:rPr>
              <w:t>порі</w:t>
            </w:r>
            <w:proofErr w:type="gramStart"/>
            <w:r w:rsidRPr="00840E1B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</w:p>
        </w:tc>
        <w:tc>
          <w:tcPr>
            <w:tcW w:w="917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100;120</w:t>
            </w:r>
          </w:p>
        </w:tc>
        <w:tc>
          <w:tcPr>
            <w:tcW w:w="850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120;140</w:t>
            </w:r>
          </w:p>
        </w:tc>
        <w:tc>
          <w:tcPr>
            <w:tcW w:w="851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140;160</w:t>
            </w:r>
          </w:p>
        </w:tc>
        <w:tc>
          <w:tcPr>
            <w:tcW w:w="850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160;180</w:t>
            </w:r>
          </w:p>
        </w:tc>
        <w:tc>
          <w:tcPr>
            <w:tcW w:w="851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180;200</w:t>
            </w:r>
          </w:p>
        </w:tc>
      </w:tr>
      <w:tr w:rsidR="008E27D3" w:rsidTr="008E27D3">
        <w:tc>
          <w:tcPr>
            <w:tcW w:w="2835" w:type="dxa"/>
            <w:vAlign w:val="center"/>
          </w:tcPr>
          <w:p w:rsidR="008E27D3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033" w:type="dxa"/>
            <w:vAlign w:val="center"/>
          </w:tcPr>
          <w:p w:rsidR="008E27D3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132" w:type="dxa"/>
            <w:vAlign w:val="center"/>
          </w:tcPr>
          <w:p w:rsidR="008E27D3" w:rsidRPr="00FD277E" w:rsidRDefault="00FD277E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7- 5%</w:t>
            </w:r>
          </w:p>
        </w:tc>
        <w:tc>
          <w:tcPr>
            <w:tcW w:w="917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33 – 24%</w:t>
            </w:r>
          </w:p>
        </w:tc>
        <w:tc>
          <w:tcPr>
            <w:tcW w:w="850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36 – 26%</w:t>
            </w:r>
          </w:p>
        </w:tc>
        <w:tc>
          <w:tcPr>
            <w:tcW w:w="851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30 – 22%</w:t>
            </w:r>
          </w:p>
        </w:tc>
        <w:tc>
          <w:tcPr>
            <w:tcW w:w="850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23 – 17%</w:t>
            </w:r>
          </w:p>
        </w:tc>
        <w:tc>
          <w:tcPr>
            <w:tcW w:w="851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 – 6%</w:t>
            </w:r>
          </w:p>
        </w:tc>
      </w:tr>
      <w:tr w:rsidR="00840E1B" w:rsidTr="008E27D3">
        <w:tc>
          <w:tcPr>
            <w:tcW w:w="2835" w:type="dxa"/>
            <w:vAlign w:val="center"/>
          </w:tcPr>
          <w:p w:rsidR="00840E1B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033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132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13-</w:t>
            </w:r>
          </w:p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11%</w:t>
            </w:r>
          </w:p>
        </w:tc>
        <w:tc>
          <w:tcPr>
            <w:tcW w:w="917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20-17%</w:t>
            </w:r>
          </w:p>
        </w:tc>
        <w:tc>
          <w:tcPr>
            <w:tcW w:w="850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27-23%</w:t>
            </w:r>
          </w:p>
        </w:tc>
        <w:tc>
          <w:tcPr>
            <w:tcW w:w="851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29-24%</w:t>
            </w:r>
          </w:p>
        </w:tc>
        <w:tc>
          <w:tcPr>
            <w:tcW w:w="850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21-18%</w:t>
            </w:r>
          </w:p>
        </w:tc>
        <w:tc>
          <w:tcPr>
            <w:tcW w:w="851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9-</w:t>
            </w:r>
          </w:p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7%</w:t>
            </w:r>
          </w:p>
        </w:tc>
      </w:tr>
    </w:tbl>
    <w:p w:rsidR="000F6F44" w:rsidRPr="00840E1B" w:rsidRDefault="000F6F44" w:rsidP="00840E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DA7" w:rsidRDefault="00B84F87" w:rsidP="00E1415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84F87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</w:t>
      </w:r>
      <w:r w:rsidRPr="00E14157">
        <w:rPr>
          <w:rFonts w:ascii="Times New Roman" w:hAnsi="Times New Roman" w:cs="Times New Roman"/>
          <w:b/>
          <w:sz w:val="28"/>
          <w:szCs w:val="28"/>
          <w:lang w:val="uk-UA"/>
        </w:rPr>
        <w:t>Історії Укр</w:t>
      </w:r>
      <w:r w:rsidR="00840E1B" w:rsidRPr="00E14157">
        <w:rPr>
          <w:rFonts w:ascii="Times New Roman" w:hAnsi="Times New Roman" w:cs="Times New Roman"/>
          <w:b/>
          <w:sz w:val="28"/>
          <w:szCs w:val="28"/>
          <w:lang w:val="uk-UA"/>
        </w:rPr>
        <w:t>аїни</w:t>
      </w:r>
      <w:r w:rsidR="00840E1B">
        <w:rPr>
          <w:rFonts w:ascii="Times New Roman" w:hAnsi="Times New Roman" w:cs="Times New Roman"/>
          <w:sz w:val="28"/>
          <w:szCs w:val="28"/>
          <w:lang w:val="uk-UA"/>
        </w:rPr>
        <w:t xml:space="preserve"> складали 90</w:t>
      </w:r>
      <w:r w:rsidR="005007C4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випускників, 11</w:t>
      </w:r>
      <w:r>
        <w:rPr>
          <w:rFonts w:ascii="Times New Roman" w:hAnsi="Times New Roman" w:cs="Times New Roman"/>
          <w:sz w:val="28"/>
          <w:szCs w:val="28"/>
          <w:lang w:val="uk-UA"/>
        </w:rPr>
        <w:t>% з яких не подолали прохідни</w:t>
      </w:r>
      <w:r w:rsidR="005007C4">
        <w:rPr>
          <w:rFonts w:ascii="Times New Roman" w:hAnsi="Times New Roman" w:cs="Times New Roman"/>
          <w:sz w:val="28"/>
          <w:szCs w:val="28"/>
          <w:lang w:val="uk-UA"/>
        </w:rPr>
        <w:t>й поріг, їх кількість складає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7213EA" w:rsidRPr="00B84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7C4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F6F44">
        <w:rPr>
          <w:rFonts w:ascii="Times New Roman" w:hAnsi="Times New Roman" w:cs="Times New Roman"/>
          <w:sz w:val="28"/>
          <w:szCs w:val="28"/>
          <w:lang w:val="uk-UA"/>
        </w:rPr>
        <w:t xml:space="preserve"> набрали високі бали – це 17 учнів</w:t>
      </w:r>
      <w:r w:rsidR="00463C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63CF4">
        <w:rPr>
          <w:rFonts w:ascii="Times New Roman" w:hAnsi="Times New Roman" w:cs="Times New Roman"/>
          <w:sz w:val="28"/>
          <w:szCs w:val="28"/>
          <w:lang w:val="uk-UA"/>
        </w:rPr>
        <w:t>Зорянська</w:t>
      </w:r>
      <w:proofErr w:type="spellEnd"/>
      <w:r w:rsidR="00463CF4">
        <w:rPr>
          <w:rFonts w:ascii="Times New Roman" w:hAnsi="Times New Roman" w:cs="Times New Roman"/>
          <w:sz w:val="28"/>
          <w:szCs w:val="28"/>
          <w:lang w:val="uk-UA"/>
        </w:rPr>
        <w:t xml:space="preserve"> ЗОШ – 1 учень, </w:t>
      </w:r>
      <w:proofErr w:type="spellStart"/>
      <w:r w:rsidR="00463CF4">
        <w:rPr>
          <w:rFonts w:ascii="Times New Roman" w:hAnsi="Times New Roman" w:cs="Times New Roman"/>
          <w:sz w:val="28"/>
          <w:szCs w:val="28"/>
          <w:lang w:val="uk-UA"/>
        </w:rPr>
        <w:t>Малоянисольська</w:t>
      </w:r>
      <w:proofErr w:type="spellEnd"/>
      <w:r w:rsidR="00463CF4">
        <w:rPr>
          <w:rFonts w:ascii="Times New Roman" w:hAnsi="Times New Roman" w:cs="Times New Roman"/>
          <w:sz w:val="28"/>
          <w:szCs w:val="28"/>
          <w:lang w:val="uk-UA"/>
        </w:rPr>
        <w:t xml:space="preserve"> ЗОШ – 1 учень, </w:t>
      </w:r>
      <w:proofErr w:type="spellStart"/>
      <w:r w:rsidR="00463CF4">
        <w:rPr>
          <w:rFonts w:ascii="Times New Roman" w:hAnsi="Times New Roman" w:cs="Times New Roman"/>
          <w:sz w:val="28"/>
          <w:szCs w:val="28"/>
          <w:lang w:val="uk-UA"/>
        </w:rPr>
        <w:t>Нікольська</w:t>
      </w:r>
      <w:proofErr w:type="spellEnd"/>
      <w:r w:rsidR="00463CF4">
        <w:rPr>
          <w:rFonts w:ascii="Times New Roman" w:hAnsi="Times New Roman" w:cs="Times New Roman"/>
          <w:sz w:val="28"/>
          <w:szCs w:val="28"/>
          <w:lang w:val="uk-UA"/>
        </w:rPr>
        <w:t xml:space="preserve"> ЗОШ №1 – 7 учнів, </w:t>
      </w:r>
      <w:proofErr w:type="spellStart"/>
      <w:r w:rsidR="00463CF4">
        <w:rPr>
          <w:rFonts w:ascii="Times New Roman" w:hAnsi="Times New Roman" w:cs="Times New Roman"/>
          <w:sz w:val="28"/>
          <w:szCs w:val="28"/>
          <w:lang w:val="uk-UA"/>
        </w:rPr>
        <w:t>Тополинська</w:t>
      </w:r>
      <w:proofErr w:type="spellEnd"/>
      <w:r w:rsidR="00463CF4">
        <w:rPr>
          <w:rFonts w:ascii="Times New Roman" w:hAnsi="Times New Roman" w:cs="Times New Roman"/>
          <w:sz w:val="28"/>
          <w:szCs w:val="28"/>
          <w:lang w:val="uk-UA"/>
        </w:rPr>
        <w:t xml:space="preserve"> ЗОШ – 1 учень, гімназія – 3 учні)</w:t>
      </w:r>
      <w:r w:rsidR="000F6F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Три учні набрали більше 180 балів – це випускники </w:t>
      </w:r>
      <w:proofErr w:type="spellStart"/>
      <w:r w:rsidR="008A4443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8A4443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«Софія».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1036"/>
        <w:gridCol w:w="798"/>
        <w:gridCol w:w="956"/>
        <w:gridCol w:w="1086"/>
        <w:gridCol w:w="1086"/>
        <w:gridCol w:w="1086"/>
        <w:gridCol w:w="1089"/>
      </w:tblGrid>
      <w:tr w:rsidR="00E14157" w:rsidRPr="008A4443" w:rsidTr="00135FEB">
        <w:tc>
          <w:tcPr>
            <w:tcW w:w="199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03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798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 w:rsidRPr="00E14157">
              <w:rPr>
                <w:rFonts w:ascii="Times New Roman" w:hAnsi="Times New Roman" w:cs="Times New Roman"/>
                <w:lang w:val="uk-UA"/>
              </w:rPr>
              <w:t>подол</w:t>
            </w:r>
            <w:proofErr w:type="spellEnd"/>
          </w:p>
        </w:tc>
        <w:tc>
          <w:tcPr>
            <w:tcW w:w="956" w:type="dxa"/>
            <w:vAlign w:val="center"/>
          </w:tcPr>
          <w:p w:rsidR="00E14157" w:rsidRPr="00E14157" w:rsidRDefault="00E1415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100;120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120;140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140;160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160;180</w:t>
            </w:r>
          </w:p>
        </w:tc>
        <w:tc>
          <w:tcPr>
            <w:tcW w:w="1089" w:type="dxa"/>
            <w:vAlign w:val="center"/>
          </w:tcPr>
          <w:p w:rsidR="00E14157" w:rsidRPr="00E14157" w:rsidRDefault="00E1415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180;200</w:t>
            </w:r>
          </w:p>
        </w:tc>
      </w:tr>
      <w:tr w:rsidR="00E14157" w:rsidTr="00135FEB">
        <w:tc>
          <w:tcPr>
            <w:tcW w:w="199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98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10 – 11%</w:t>
            </w:r>
          </w:p>
        </w:tc>
        <w:tc>
          <w:tcPr>
            <w:tcW w:w="95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31 – 34%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 xml:space="preserve">16 – 18% 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16 – 18%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14 – 16%</w:t>
            </w:r>
          </w:p>
        </w:tc>
        <w:tc>
          <w:tcPr>
            <w:tcW w:w="1089" w:type="dxa"/>
            <w:vAlign w:val="center"/>
          </w:tcPr>
          <w:p w:rsidR="00E14157" w:rsidRPr="00E14157" w:rsidRDefault="00E14157" w:rsidP="00135FEB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3 – 3%</w:t>
            </w:r>
          </w:p>
        </w:tc>
      </w:tr>
    </w:tbl>
    <w:p w:rsidR="00E14157" w:rsidRPr="00E14157" w:rsidRDefault="00E14157" w:rsidP="00E14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6F44" w:rsidRDefault="000F6F4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19600" cy="2333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71DD" w:rsidRDefault="000C71DD">
      <w:pPr>
        <w:rPr>
          <w:lang w:val="uk-UA"/>
        </w:rPr>
      </w:pPr>
    </w:p>
    <w:p w:rsidR="000F6F44" w:rsidRDefault="000F6F44" w:rsidP="000C71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Погіршився результат складання тестів з </w:t>
      </w:r>
      <w:r w:rsidRPr="00E14157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, не подол</w:t>
      </w:r>
      <w:r w:rsidR="00DF287C">
        <w:rPr>
          <w:rFonts w:ascii="Times New Roman" w:hAnsi="Times New Roman" w:cs="Times New Roman"/>
          <w:sz w:val="28"/>
          <w:szCs w:val="28"/>
          <w:lang w:val="uk-UA"/>
        </w:rPr>
        <w:t>али поріг 38% випускників, це 27 з 71</w:t>
      </w:r>
      <w:r w:rsidR="000D722C"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="003D63C9">
        <w:rPr>
          <w:rFonts w:ascii="Times New Roman" w:hAnsi="Times New Roman" w:cs="Times New Roman"/>
          <w:sz w:val="28"/>
          <w:szCs w:val="28"/>
          <w:lang w:val="uk-UA"/>
        </w:rPr>
        <w:t>, минулого року їх кількість складала 29,5 %</w:t>
      </w:r>
      <w:r>
        <w:rPr>
          <w:rFonts w:ascii="Times New Roman" w:hAnsi="Times New Roman" w:cs="Times New Roman"/>
          <w:sz w:val="28"/>
          <w:szCs w:val="28"/>
          <w:lang w:val="uk-UA"/>
        </w:rPr>
        <w:t>. Лише 2 випускники склали тестування на високий бал, більше ніж 180 балів не набрав жоден випускник.</w:t>
      </w:r>
      <w:r w:rsidR="003D63C9">
        <w:rPr>
          <w:rFonts w:ascii="Times New Roman" w:hAnsi="Times New Roman" w:cs="Times New Roman"/>
          <w:sz w:val="28"/>
          <w:szCs w:val="28"/>
          <w:lang w:val="uk-UA"/>
        </w:rPr>
        <w:t xml:space="preserve"> Для порівняння,  в 2017 році 8 % учнів отримали від 160 балів та вище. Порівняння бачимо на діаграмі.</w:t>
      </w:r>
    </w:p>
    <w:p w:rsidR="003D63C9" w:rsidRDefault="003D63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378" w:rsidRDefault="000F6F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0" cy="2714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177"/>
        <w:gridCol w:w="1182"/>
        <w:gridCol w:w="1069"/>
        <w:gridCol w:w="1069"/>
        <w:gridCol w:w="1069"/>
        <w:gridCol w:w="1069"/>
        <w:gridCol w:w="1071"/>
      </w:tblGrid>
      <w:tr w:rsidR="000C71DD" w:rsidTr="00135FEB">
        <w:tc>
          <w:tcPr>
            <w:tcW w:w="199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3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30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1086" w:type="dxa"/>
            <w:vAlign w:val="center"/>
          </w:tcPr>
          <w:p w:rsidR="000C71DD" w:rsidRPr="008C1A07" w:rsidRDefault="008C1A0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100;120</w:t>
            </w:r>
          </w:p>
        </w:tc>
        <w:tc>
          <w:tcPr>
            <w:tcW w:w="1086" w:type="dxa"/>
            <w:vAlign w:val="center"/>
          </w:tcPr>
          <w:p w:rsidR="000C71DD" w:rsidRPr="008C1A07" w:rsidRDefault="008C1A0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1086" w:type="dxa"/>
            <w:vAlign w:val="center"/>
          </w:tcPr>
          <w:p w:rsidR="000C71DD" w:rsidRPr="008C1A07" w:rsidRDefault="008C1A0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140;160</w:t>
            </w:r>
          </w:p>
        </w:tc>
        <w:tc>
          <w:tcPr>
            <w:tcW w:w="1086" w:type="dxa"/>
            <w:vAlign w:val="center"/>
          </w:tcPr>
          <w:p w:rsidR="000C71DD" w:rsidRPr="008C1A07" w:rsidRDefault="008C1A0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1089" w:type="dxa"/>
            <w:vAlign w:val="center"/>
          </w:tcPr>
          <w:p w:rsidR="000C71DD" w:rsidRPr="008C1A07" w:rsidRDefault="008C1A07" w:rsidP="00135F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0C71DD" w:rsidTr="00135FEB">
        <w:tc>
          <w:tcPr>
            <w:tcW w:w="199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3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30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– 38%</w:t>
            </w:r>
          </w:p>
        </w:tc>
        <w:tc>
          <w:tcPr>
            <w:tcW w:w="108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– 33%</w:t>
            </w:r>
          </w:p>
        </w:tc>
        <w:tc>
          <w:tcPr>
            <w:tcW w:w="108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12%</w:t>
            </w:r>
          </w:p>
        </w:tc>
        <w:tc>
          <w:tcPr>
            <w:tcW w:w="108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14%</w:t>
            </w:r>
          </w:p>
        </w:tc>
        <w:tc>
          <w:tcPr>
            <w:tcW w:w="1086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3%</w:t>
            </w:r>
          </w:p>
        </w:tc>
        <w:tc>
          <w:tcPr>
            <w:tcW w:w="1089" w:type="dxa"/>
            <w:vAlign w:val="center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C1A07" w:rsidTr="00135FEB">
        <w:tc>
          <w:tcPr>
            <w:tcW w:w="199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03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30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19 -29,5%</w:t>
            </w:r>
          </w:p>
        </w:tc>
        <w:tc>
          <w:tcPr>
            <w:tcW w:w="108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– 31%</w:t>
            </w:r>
          </w:p>
        </w:tc>
        <w:tc>
          <w:tcPr>
            <w:tcW w:w="108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19%</w:t>
            </w:r>
          </w:p>
        </w:tc>
        <w:tc>
          <w:tcPr>
            <w:tcW w:w="108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8 -12.5%</w:t>
            </w:r>
          </w:p>
        </w:tc>
        <w:tc>
          <w:tcPr>
            <w:tcW w:w="1086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6%</w:t>
            </w:r>
          </w:p>
        </w:tc>
        <w:tc>
          <w:tcPr>
            <w:tcW w:w="1089" w:type="dxa"/>
          </w:tcPr>
          <w:p w:rsidR="000C71DD" w:rsidRPr="000C71DD" w:rsidRDefault="000C71DD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2%</w:t>
            </w:r>
          </w:p>
        </w:tc>
      </w:tr>
    </w:tbl>
    <w:p w:rsidR="000F6F44" w:rsidRDefault="000F6F44" w:rsidP="00E14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4157" w:rsidRDefault="00E14157" w:rsidP="00E141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</w:t>
      </w:r>
      <w:r w:rsidRPr="00E14157"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проходили випускники сімох ЗЗСО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всього 9 учнів, минулого року  їх кількість склала 14 осіб. В результаті 45% не подолали прохідний бал і жоден не отримав високих результатів.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177"/>
        <w:gridCol w:w="1182"/>
        <w:gridCol w:w="860"/>
        <w:gridCol w:w="926"/>
        <w:gridCol w:w="926"/>
        <w:gridCol w:w="795"/>
        <w:gridCol w:w="795"/>
      </w:tblGrid>
      <w:tr w:rsidR="00984378" w:rsidTr="00DF287C">
        <w:tc>
          <w:tcPr>
            <w:tcW w:w="1996" w:type="dxa"/>
          </w:tcPr>
          <w:p w:rsidR="00984378" w:rsidRPr="00BC4B14" w:rsidRDefault="00E14157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1177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подолали</w:t>
            </w:r>
          </w:p>
        </w:tc>
        <w:tc>
          <w:tcPr>
            <w:tcW w:w="860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100-120</w:t>
            </w:r>
          </w:p>
        </w:tc>
        <w:tc>
          <w:tcPr>
            <w:tcW w:w="926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120-140</w:t>
            </w:r>
          </w:p>
        </w:tc>
        <w:tc>
          <w:tcPr>
            <w:tcW w:w="926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140-160</w:t>
            </w:r>
          </w:p>
        </w:tc>
        <w:tc>
          <w:tcPr>
            <w:tcW w:w="795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160-180</w:t>
            </w:r>
          </w:p>
        </w:tc>
        <w:tc>
          <w:tcPr>
            <w:tcW w:w="795" w:type="dxa"/>
          </w:tcPr>
          <w:p w:rsidR="00984378" w:rsidRPr="00BC4B14" w:rsidRDefault="00984378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180-200</w:t>
            </w:r>
          </w:p>
        </w:tc>
      </w:tr>
      <w:tr w:rsidR="00BC4B14" w:rsidTr="00DF287C">
        <w:tc>
          <w:tcPr>
            <w:tcW w:w="1996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2017</w:t>
            </w:r>
          </w:p>
        </w:tc>
        <w:tc>
          <w:tcPr>
            <w:tcW w:w="1177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1182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60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926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926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795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795" w:type="dxa"/>
          </w:tcPr>
          <w:p w:rsidR="00BC4B14" w:rsidRPr="00BC4B14" w:rsidRDefault="00BC4B14" w:rsidP="0098437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984378" w:rsidTr="00DF287C">
        <w:tc>
          <w:tcPr>
            <w:tcW w:w="1996" w:type="dxa"/>
            <w:vAlign w:val="center"/>
          </w:tcPr>
          <w:p w:rsidR="00984378" w:rsidRPr="00BC4B14" w:rsidRDefault="00BC4B14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984378" w:rsidRPr="00BC4B14" w:rsidRDefault="00DF287C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2" w:type="dxa"/>
            <w:vAlign w:val="center"/>
          </w:tcPr>
          <w:p w:rsidR="00984378" w:rsidRPr="00BC4B14" w:rsidRDefault="00DF287C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4 – 45%</w:t>
            </w:r>
          </w:p>
        </w:tc>
        <w:tc>
          <w:tcPr>
            <w:tcW w:w="860" w:type="dxa"/>
            <w:vAlign w:val="center"/>
          </w:tcPr>
          <w:p w:rsidR="00984378" w:rsidRPr="00BC4B14" w:rsidRDefault="00984378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1</w:t>
            </w:r>
            <w:r w:rsidR="00DF287C" w:rsidRPr="00BC4B14">
              <w:rPr>
                <w:rFonts w:ascii="Times New Roman" w:hAnsi="Times New Roman" w:cs="Times New Roman"/>
                <w:lang w:val="uk-UA"/>
              </w:rPr>
              <w:t xml:space="preserve"> -11%</w:t>
            </w:r>
          </w:p>
        </w:tc>
        <w:tc>
          <w:tcPr>
            <w:tcW w:w="926" w:type="dxa"/>
            <w:vAlign w:val="center"/>
          </w:tcPr>
          <w:p w:rsidR="00984378" w:rsidRPr="00BC4B14" w:rsidRDefault="00DF287C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3 – 33%</w:t>
            </w:r>
          </w:p>
        </w:tc>
        <w:tc>
          <w:tcPr>
            <w:tcW w:w="926" w:type="dxa"/>
            <w:vAlign w:val="center"/>
          </w:tcPr>
          <w:p w:rsidR="00984378" w:rsidRPr="00BC4B14" w:rsidRDefault="00DF287C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1 – 11%</w:t>
            </w:r>
          </w:p>
        </w:tc>
        <w:tc>
          <w:tcPr>
            <w:tcW w:w="795" w:type="dxa"/>
            <w:vAlign w:val="center"/>
          </w:tcPr>
          <w:p w:rsidR="00984378" w:rsidRPr="00BC4B14" w:rsidRDefault="00984378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95" w:type="dxa"/>
            <w:vAlign w:val="center"/>
          </w:tcPr>
          <w:p w:rsidR="00984378" w:rsidRPr="00BC4B14" w:rsidRDefault="00984378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8C1A07" w:rsidRDefault="008C1A07" w:rsidP="009843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84378" w:rsidRDefault="00984378" w:rsidP="009843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3086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4157" w:rsidRDefault="00E14157" w:rsidP="00BC4B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Тестування з </w:t>
      </w:r>
      <w:r w:rsidRPr="00073E9D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2018 році складали 10 випускників,і хоча результатів високого рівня немає, всі учні подолали прохідний бал.</w:t>
      </w:r>
      <w:r w:rsidR="00073E9D"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 результати з хімії були гірші, 50% випускників не подолали прохідний бал.</w:t>
      </w:r>
    </w:p>
    <w:p w:rsidR="00984378" w:rsidRDefault="009A194A" w:rsidP="00BC4B1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10F06" wp14:editId="280A45AD">
            <wp:extent cx="4924425" cy="2200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177"/>
        <w:gridCol w:w="1182"/>
        <w:gridCol w:w="941"/>
        <w:gridCol w:w="883"/>
        <w:gridCol w:w="883"/>
        <w:gridCol w:w="825"/>
        <w:gridCol w:w="825"/>
      </w:tblGrid>
      <w:tr w:rsidR="00BC4B14" w:rsidTr="00135FEB">
        <w:tc>
          <w:tcPr>
            <w:tcW w:w="1992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77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941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883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83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25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825" w:type="dxa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BC4B14" w:rsidTr="00135FEB">
        <w:tc>
          <w:tcPr>
            <w:tcW w:w="1992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BC4B14" w:rsidRPr="008E27D3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2" w:type="dxa"/>
            <w:vAlign w:val="center"/>
          </w:tcPr>
          <w:p w:rsidR="00BC4B14" w:rsidRPr="008E27D3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1" w:type="dxa"/>
            <w:vAlign w:val="center"/>
          </w:tcPr>
          <w:p w:rsidR="00BC4B14" w:rsidRPr="008E27D3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  <w:vAlign w:val="center"/>
          </w:tcPr>
          <w:p w:rsidR="00BC4B14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3" w:type="dxa"/>
            <w:vAlign w:val="center"/>
          </w:tcPr>
          <w:p w:rsidR="00BC4B14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BC4B14" w:rsidRPr="008E27D3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5" w:type="dxa"/>
            <w:vAlign w:val="center"/>
          </w:tcPr>
          <w:p w:rsidR="00BC4B14" w:rsidRPr="008E27D3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C4B14" w:rsidTr="00135FEB">
        <w:tc>
          <w:tcPr>
            <w:tcW w:w="1992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2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41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50%</w:t>
            </w:r>
          </w:p>
        </w:tc>
        <w:tc>
          <w:tcPr>
            <w:tcW w:w="883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20%</w:t>
            </w:r>
          </w:p>
        </w:tc>
        <w:tc>
          <w:tcPr>
            <w:tcW w:w="883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30%</w:t>
            </w:r>
          </w:p>
        </w:tc>
        <w:tc>
          <w:tcPr>
            <w:tcW w:w="825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5" w:type="dxa"/>
            <w:vAlign w:val="center"/>
          </w:tcPr>
          <w:p w:rsidR="00BC4B14" w:rsidRPr="00BC4B14" w:rsidRDefault="00BC4B1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73E9D" w:rsidRPr="002C03B4" w:rsidRDefault="00073E9D" w:rsidP="008E2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B4">
        <w:rPr>
          <w:rFonts w:ascii="Times New Roman" w:hAnsi="Times New Roman" w:cs="Times New Roman"/>
          <w:sz w:val="28"/>
          <w:szCs w:val="28"/>
          <w:lang w:val="uk-UA"/>
        </w:rPr>
        <w:t xml:space="preserve">Високу результативність показали випускники під час тестування з </w:t>
      </w:r>
      <w:r w:rsidRPr="002C03B4">
        <w:rPr>
          <w:rFonts w:ascii="Times New Roman" w:hAnsi="Times New Roman" w:cs="Times New Roman"/>
          <w:b/>
          <w:sz w:val="28"/>
          <w:szCs w:val="28"/>
          <w:lang w:val="uk-UA"/>
        </w:rPr>
        <w:t>біології.</w:t>
      </w:r>
      <w:r w:rsidRPr="002C03B4">
        <w:rPr>
          <w:rFonts w:ascii="Times New Roman" w:hAnsi="Times New Roman" w:cs="Times New Roman"/>
          <w:sz w:val="28"/>
          <w:szCs w:val="28"/>
          <w:lang w:val="uk-UA"/>
        </w:rPr>
        <w:t xml:space="preserve"> З 47 учнів лише 3 не подолали прохідний бал, 27,5% мають високі результати, це учні гімназії «Софія», Республіканської ЗОШ, </w:t>
      </w:r>
      <w:proofErr w:type="spellStart"/>
      <w:r w:rsidRPr="002C03B4">
        <w:rPr>
          <w:rFonts w:ascii="Times New Roman" w:hAnsi="Times New Roman" w:cs="Times New Roman"/>
          <w:sz w:val="28"/>
          <w:szCs w:val="28"/>
          <w:lang w:val="uk-UA"/>
        </w:rPr>
        <w:t>Новокраснівської</w:t>
      </w:r>
      <w:proofErr w:type="spellEnd"/>
      <w:r w:rsidRPr="002C03B4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="00B365F2" w:rsidRPr="002C03B4">
        <w:rPr>
          <w:rFonts w:ascii="Times New Roman" w:hAnsi="Times New Roman" w:cs="Times New Roman"/>
          <w:sz w:val="28"/>
          <w:szCs w:val="28"/>
          <w:lang w:val="uk-UA"/>
        </w:rPr>
        <w:t>Кальчицької</w:t>
      </w:r>
      <w:proofErr w:type="spellEnd"/>
      <w:r w:rsidR="00B365F2" w:rsidRPr="002C03B4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="00B365F2" w:rsidRPr="002C03B4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B365F2" w:rsidRPr="002C03B4">
        <w:rPr>
          <w:rFonts w:ascii="Times New Roman" w:hAnsi="Times New Roman" w:cs="Times New Roman"/>
          <w:sz w:val="28"/>
          <w:szCs w:val="28"/>
          <w:lang w:val="uk-UA"/>
        </w:rPr>
        <w:t xml:space="preserve"> ЗОШ №1. </w:t>
      </w:r>
    </w:p>
    <w:p w:rsidR="00B365F2" w:rsidRDefault="00B365F2" w:rsidP="002C03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3B4">
        <w:rPr>
          <w:rFonts w:ascii="Times New Roman" w:hAnsi="Times New Roman" w:cs="Times New Roman"/>
          <w:sz w:val="28"/>
          <w:szCs w:val="28"/>
          <w:lang w:val="uk-UA"/>
        </w:rPr>
        <w:t>В 2017 році учасників тестування з біології було на 10 менше, високих результатів на 5 % менше і зовсім не було випускників, які набрали більше 180 балів. Тобто в 2018 році результати кращі.</w:t>
      </w:r>
    </w:p>
    <w:p w:rsidR="00BC4B14" w:rsidRPr="002C03B4" w:rsidRDefault="00BC4B14" w:rsidP="002C03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77"/>
        <w:gridCol w:w="1182"/>
        <w:gridCol w:w="718"/>
        <w:gridCol w:w="836"/>
        <w:gridCol w:w="830"/>
        <w:gridCol w:w="830"/>
        <w:gridCol w:w="656"/>
      </w:tblGrid>
      <w:tr w:rsidR="002C03B4" w:rsidTr="00135FEB">
        <w:tc>
          <w:tcPr>
            <w:tcW w:w="2235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77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718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830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30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30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656" w:type="dxa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2C03B4" w:rsidTr="00135FEB">
        <w:tc>
          <w:tcPr>
            <w:tcW w:w="2235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82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8%</w:t>
            </w:r>
          </w:p>
        </w:tc>
        <w:tc>
          <w:tcPr>
            <w:tcW w:w="718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19%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– 38%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11%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24%</w:t>
            </w:r>
          </w:p>
        </w:tc>
        <w:tc>
          <w:tcPr>
            <w:tcW w:w="656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03B4" w:rsidTr="00135FEB">
        <w:tc>
          <w:tcPr>
            <w:tcW w:w="2235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82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3 -6%</w:t>
            </w:r>
          </w:p>
        </w:tc>
        <w:tc>
          <w:tcPr>
            <w:tcW w:w="718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19%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25,5%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22%</w:t>
            </w:r>
          </w:p>
        </w:tc>
        <w:tc>
          <w:tcPr>
            <w:tcW w:w="830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25,5</w:t>
            </w:r>
          </w:p>
        </w:tc>
        <w:tc>
          <w:tcPr>
            <w:tcW w:w="656" w:type="dxa"/>
            <w:vAlign w:val="center"/>
          </w:tcPr>
          <w:p w:rsidR="002C03B4" w:rsidRPr="00BC4B14" w:rsidRDefault="002C03B4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1 -2%</w:t>
            </w:r>
          </w:p>
        </w:tc>
      </w:tr>
    </w:tbl>
    <w:p w:rsidR="002C03B4" w:rsidRDefault="008E27D3" w:rsidP="00B365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180478" wp14:editId="55703E31">
            <wp:simplePos x="0" y="0"/>
            <wp:positionH relativeFrom="column">
              <wp:posOffset>539115</wp:posOffset>
            </wp:positionH>
            <wp:positionV relativeFrom="paragraph">
              <wp:posOffset>297180</wp:posOffset>
            </wp:positionV>
            <wp:extent cx="4324350" cy="2409825"/>
            <wp:effectExtent l="0" t="0" r="19050" b="9525"/>
            <wp:wrapThrough wrapText="bothSides">
              <wp:wrapPolygon edited="0">
                <wp:start x="0" y="0"/>
                <wp:lineTo x="0" y="21515"/>
                <wp:lineTo x="21600" y="21515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4A" w:rsidRDefault="00770C4A" w:rsidP="009843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70C4A" w:rsidRDefault="00770C4A" w:rsidP="000E30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79AD" w:rsidRDefault="000E30BA" w:rsidP="009843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Тестування з </w:t>
      </w:r>
      <w:r w:rsidRPr="000E3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складали 33 випускники, 18% не подолали прохідний бал, більша кількість учнів отримали результати достатнього рівня, 9 % мають високі бали – це 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Зеленоярської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563FE3" w:rsidRDefault="00DE79AD" w:rsidP="009843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7"/>
        <w:gridCol w:w="1182"/>
        <w:gridCol w:w="718"/>
        <w:gridCol w:w="718"/>
        <w:gridCol w:w="830"/>
        <w:gridCol w:w="830"/>
        <w:gridCol w:w="830"/>
      </w:tblGrid>
      <w:tr w:rsidR="000E30BA" w:rsidRPr="000E30BA" w:rsidTr="00135FEB">
        <w:tc>
          <w:tcPr>
            <w:tcW w:w="2943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77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718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718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0E30BA" w:rsidRPr="000E30BA" w:rsidTr="00135FEB">
        <w:tc>
          <w:tcPr>
            <w:tcW w:w="2943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82" w:type="dxa"/>
          </w:tcPr>
          <w:p w:rsidR="000E30BA" w:rsidRPr="000E30BA" w:rsidRDefault="00B469D5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8%</w:t>
            </w:r>
          </w:p>
        </w:tc>
        <w:tc>
          <w:tcPr>
            <w:tcW w:w="718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46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28%</w:t>
            </w:r>
          </w:p>
        </w:tc>
        <w:tc>
          <w:tcPr>
            <w:tcW w:w="718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46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19%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46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28%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46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14%</w:t>
            </w:r>
          </w:p>
        </w:tc>
        <w:tc>
          <w:tcPr>
            <w:tcW w:w="830" w:type="dxa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6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-3%</w:t>
            </w:r>
          </w:p>
        </w:tc>
      </w:tr>
      <w:tr w:rsidR="000E30BA" w:rsidRPr="000E30BA" w:rsidTr="00135FEB">
        <w:tc>
          <w:tcPr>
            <w:tcW w:w="2943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82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18%</w:t>
            </w:r>
          </w:p>
        </w:tc>
        <w:tc>
          <w:tcPr>
            <w:tcW w:w="718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9-27%</w:t>
            </w:r>
          </w:p>
        </w:tc>
        <w:tc>
          <w:tcPr>
            <w:tcW w:w="718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15%</w:t>
            </w:r>
          </w:p>
        </w:tc>
        <w:tc>
          <w:tcPr>
            <w:tcW w:w="830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31%</w:t>
            </w:r>
          </w:p>
        </w:tc>
        <w:tc>
          <w:tcPr>
            <w:tcW w:w="830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6%</w:t>
            </w:r>
          </w:p>
        </w:tc>
        <w:tc>
          <w:tcPr>
            <w:tcW w:w="830" w:type="dxa"/>
            <w:vAlign w:val="center"/>
          </w:tcPr>
          <w:p w:rsidR="000E30BA" w:rsidRPr="000E30BA" w:rsidRDefault="000E30BA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3%</w:t>
            </w:r>
          </w:p>
        </w:tc>
      </w:tr>
    </w:tbl>
    <w:p w:rsidR="00770C4A" w:rsidRDefault="00770C4A" w:rsidP="008E27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FE3" w:rsidRDefault="00B469D5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Англійську мову здали 37 випускників з 11 ЗЗСО, з яких 38 % не подолали прохідний бал, 11% отримали від 160 до 180 балів (випускники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№1 та гімназії «Софія»), жоден учень не набрав більше 180 балів. Порівнюючи цьогорічні результати з 2017 роком</w:t>
      </w:r>
      <w:r w:rsidR="00061D8B">
        <w:rPr>
          <w:rFonts w:ascii="Times New Roman" w:hAnsi="Times New Roman" w:cs="Times New Roman"/>
          <w:sz w:val="28"/>
          <w:szCs w:val="28"/>
          <w:lang w:val="uk-UA"/>
        </w:rPr>
        <w:t>, можна зазначити, що в цьому році результати погіршились, збільшилась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3FE3" w:rsidRDefault="008E27D3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18F768" wp14:editId="12D80AA1">
            <wp:simplePos x="0" y="0"/>
            <wp:positionH relativeFrom="column">
              <wp:posOffset>758190</wp:posOffset>
            </wp:positionH>
            <wp:positionV relativeFrom="paragraph">
              <wp:posOffset>168910</wp:posOffset>
            </wp:positionV>
            <wp:extent cx="4305300" cy="23241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D3" w:rsidRDefault="008E27D3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E27D3" w:rsidRDefault="008E27D3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77"/>
        <w:gridCol w:w="1182"/>
        <w:gridCol w:w="718"/>
        <w:gridCol w:w="830"/>
        <w:gridCol w:w="718"/>
        <w:gridCol w:w="718"/>
        <w:gridCol w:w="656"/>
      </w:tblGrid>
      <w:tr w:rsidR="008E27D3" w:rsidRPr="00BC4B14" w:rsidTr="00135FEB">
        <w:tc>
          <w:tcPr>
            <w:tcW w:w="3369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Англійська мова</w:t>
            </w:r>
          </w:p>
        </w:tc>
        <w:tc>
          <w:tcPr>
            <w:tcW w:w="1177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830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656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8E27D3" w:rsidRPr="00BC4B14" w:rsidTr="00135FEB">
        <w:tc>
          <w:tcPr>
            <w:tcW w:w="3369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82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– 30%</w:t>
            </w:r>
          </w:p>
        </w:tc>
        <w:tc>
          <w:tcPr>
            <w:tcW w:w="718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24%</w:t>
            </w:r>
          </w:p>
        </w:tc>
        <w:tc>
          <w:tcPr>
            <w:tcW w:w="830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26%</w:t>
            </w:r>
          </w:p>
        </w:tc>
        <w:tc>
          <w:tcPr>
            <w:tcW w:w="718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7%</w:t>
            </w:r>
          </w:p>
        </w:tc>
        <w:tc>
          <w:tcPr>
            <w:tcW w:w="718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11%</w:t>
            </w:r>
          </w:p>
        </w:tc>
        <w:tc>
          <w:tcPr>
            <w:tcW w:w="656" w:type="dxa"/>
            <w:vAlign w:val="center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1 -2%</w:t>
            </w:r>
          </w:p>
        </w:tc>
      </w:tr>
      <w:tr w:rsidR="008E27D3" w:rsidRPr="00BC4B14" w:rsidTr="00135FEB">
        <w:tc>
          <w:tcPr>
            <w:tcW w:w="3369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82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14 -38% 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16%</w:t>
            </w:r>
          </w:p>
        </w:tc>
        <w:tc>
          <w:tcPr>
            <w:tcW w:w="830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12 -32% 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3%</w:t>
            </w:r>
          </w:p>
        </w:tc>
        <w:tc>
          <w:tcPr>
            <w:tcW w:w="718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11%</w:t>
            </w:r>
          </w:p>
        </w:tc>
        <w:tc>
          <w:tcPr>
            <w:tcW w:w="656" w:type="dxa"/>
          </w:tcPr>
          <w:p w:rsidR="008E27D3" w:rsidRPr="00BC4B14" w:rsidRDefault="008E27D3" w:rsidP="00135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40E1B" w:rsidRPr="00840E1B" w:rsidRDefault="00840E1B" w:rsidP="00840E1B">
      <w:pPr>
        <w:pStyle w:val="a6"/>
        <w:rPr>
          <w:sz w:val="28"/>
          <w:szCs w:val="28"/>
          <w:lang w:val="uk-UA"/>
        </w:rPr>
      </w:pPr>
      <w:r w:rsidRPr="00840E1B">
        <w:rPr>
          <w:sz w:val="28"/>
          <w:szCs w:val="28"/>
          <w:lang w:val="uk-UA"/>
        </w:rPr>
        <w:t>Типові помилки учнів під час складання тестів: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непомічена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«не»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неправильно. 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баланс часу. </w:t>
      </w:r>
      <w:r w:rsidRPr="00840E1B">
        <w:rPr>
          <w:rFonts w:ascii="Times New Roman" w:hAnsi="Times New Roman" w:cs="Times New Roman"/>
          <w:sz w:val="28"/>
          <w:szCs w:val="28"/>
          <w:lang w:val="uk-UA"/>
        </w:rPr>
        <w:t xml:space="preserve">Інколи </w:t>
      </w:r>
      <w:r w:rsidRPr="00840E1B">
        <w:rPr>
          <w:rFonts w:ascii="Times New Roman" w:hAnsi="Times New Roman" w:cs="Times New Roman"/>
          <w:sz w:val="28"/>
          <w:szCs w:val="28"/>
        </w:rPr>
        <w:t xml:space="preserve">прекрасно </w:t>
      </w:r>
      <w:proofErr w:type="spellStart"/>
      <w:proofErr w:type="gramStart"/>
      <w:r w:rsidRPr="00840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E1B">
        <w:rPr>
          <w:rFonts w:ascii="Times New Roman" w:hAnsi="Times New Roman" w:cs="Times New Roman"/>
          <w:sz w:val="28"/>
          <w:szCs w:val="28"/>
        </w:rPr>
        <w:t>ідготований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провалює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40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E1B" w:rsidRPr="00840E1B" w:rsidRDefault="00840E1B" w:rsidP="00840E1B">
      <w:pPr>
        <w:pStyle w:val="a8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0E1B">
        <w:rPr>
          <w:rFonts w:ascii="Times New Roman" w:hAnsi="Times New Roman" w:cs="Times New Roman"/>
          <w:sz w:val="28"/>
          <w:szCs w:val="28"/>
        </w:rPr>
        <w:t>перен</w:t>
      </w:r>
      <w:proofErr w:type="gramEnd"/>
      <w:r w:rsidRPr="00840E1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до бланку.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0E1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40E1B">
        <w:rPr>
          <w:rFonts w:ascii="Times New Roman" w:hAnsi="Times New Roman" w:cs="Times New Roman"/>
          <w:sz w:val="28"/>
          <w:szCs w:val="28"/>
        </w:rPr>
        <w:t>іряють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тести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здивовані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результатами,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. </w:t>
      </w:r>
      <w:r w:rsidRPr="00840E1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переносі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зошиту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до бланку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прикрі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 не приносить </w:t>
      </w:r>
      <w:proofErr w:type="spellStart"/>
      <w:r w:rsidRPr="00840E1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840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покращення результатів проходження ЗНО: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b/>
          <w:sz w:val="28"/>
          <w:szCs w:val="28"/>
          <w:lang w:val="uk-UA"/>
        </w:rPr>
        <w:t>Керівникам закладів загальної середньої: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840E1B">
        <w:rPr>
          <w:bCs/>
          <w:sz w:val="28"/>
          <w:szCs w:val="28"/>
        </w:rPr>
        <w:t>забезпеч</w:t>
      </w:r>
      <w:r w:rsidRPr="00840E1B">
        <w:rPr>
          <w:bCs/>
          <w:sz w:val="28"/>
          <w:szCs w:val="28"/>
          <w:lang w:val="uk-UA"/>
        </w:rPr>
        <w:t>ити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якісн</w:t>
      </w:r>
      <w:proofErr w:type="spellEnd"/>
      <w:r w:rsidRPr="00840E1B">
        <w:rPr>
          <w:bCs/>
          <w:sz w:val="28"/>
          <w:szCs w:val="28"/>
          <w:lang w:val="uk-UA"/>
        </w:rPr>
        <w:t>у</w:t>
      </w:r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освіт</w:t>
      </w:r>
      <w:proofErr w:type="spellEnd"/>
      <w:r w:rsidRPr="00840E1B">
        <w:rPr>
          <w:bCs/>
          <w:sz w:val="28"/>
          <w:szCs w:val="28"/>
          <w:lang w:val="uk-UA"/>
        </w:rPr>
        <w:t>у</w:t>
      </w:r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постійний</w:t>
      </w:r>
      <w:proofErr w:type="spellEnd"/>
      <w:r w:rsidRPr="00840E1B">
        <w:rPr>
          <w:bCs/>
          <w:sz w:val="28"/>
          <w:szCs w:val="28"/>
        </w:rPr>
        <w:t xml:space="preserve"> контроль </w:t>
      </w:r>
      <w:proofErr w:type="gramStart"/>
      <w:r w:rsidRPr="00840E1B">
        <w:rPr>
          <w:bCs/>
          <w:sz w:val="28"/>
          <w:szCs w:val="28"/>
        </w:rPr>
        <w:t>за</w:t>
      </w:r>
      <w:proofErr w:type="gram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об’єктивністю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оцінювання</w:t>
      </w:r>
      <w:proofErr w:type="spellEnd"/>
      <w:r w:rsidRPr="00840E1B">
        <w:rPr>
          <w:bCs/>
          <w:sz w:val="28"/>
          <w:szCs w:val="28"/>
          <w:lang w:val="uk-UA"/>
        </w:rPr>
        <w:t xml:space="preserve"> </w:t>
      </w:r>
      <w:proofErr w:type="spellStart"/>
      <w:r w:rsidRPr="00840E1B">
        <w:rPr>
          <w:bCs/>
          <w:sz w:val="28"/>
          <w:szCs w:val="28"/>
        </w:rPr>
        <w:t>навчальних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досягнень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школярів</w:t>
      </w:r>
      <w:proofErr w:type="spellEnd"/>
      <w:r w:rsidRPr="00840E1B">
        <w:rPr>
          <w:bCs/>
          <w:sz w:val="28"/>
          <w:szCs w:val="28"/>
        </w:rPr>
        <w:t>;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 xml:space="preserve">підвищувати </w:t>
      </w:r>
      <w:proofErr w:type="spellStart"/>
      <w:r w:rsidRPr="00840E1B">
        <w:rPr>
          <w:bCs/>
          <w:sz w:val="28"/>
          <w:szCs w:val="28"/>
        </w:rPr>
        <w:t>мотивацію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навчально-пошукової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діяльності</w:t>
      </w:r>
      <w:proofErr w:type="spellEnd"/>
      <w:r w:rsidRPr="00840E1B">
        <w:rPr>
          <w:bCs/>
          <w:sz w:val="28"/>
          <w:szCs w:val="28"/>
        </w:rPr>
        <w:t xml:space="preserve"> школяра</w:t>
      </w:r>
      <w:r w:rsidRPr="00840E1B">
        <w:rPr>
          <w:bCs/>
          <w:sz w:val="28"/>
          <w:szCs w:val="28"/>
          <w:lang w:val="uk-UA"/>
        </w:rPr>
        <w:t>.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>досягти відповідності</w:t>
      </w:r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річних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досягнень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учнів</w:t>
      </w:r>
      <w:proofErr w:type="spellEnd"/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результатів</w:t>
      </w:r>
      <w:proofErr w:type="spellEnd"/>
      <w:r w:rsidRPr="00840E1B">
        <w:rPr>
          <w:bCs/>
          <w:sz w:val="28"/>
          <w:szCs w:val="28"/>
        </w:rPr>
        <w:t xml:space="preserve"> ЗНО.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>в</w:t>
      </w:r>
      <w:proofErr w:type="spellStart"/>
      <w:r w:rsidRPr="00840E1B">
        <w:rPr>
          <w:bCs/>
          <w:sz w:val="28"/>
          <w:szCs w:val="28"/>
        </w:rPr>
        <w:t>сю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інформацію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щодо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особливостей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проведення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незалежного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тестування</w:t>
      </w:r>
      <w:proofErr w:type="spellEnd"/>
      <w:r w:rsidRPr="00840E1B">
        <w:rPr>
          <w:bCs/>
          <w:sz w:val="28"/>
          <w:szCs w:val="28"/>
        </w:rPr>
        <w:t xml:space="preserve"> у поточному </w:t>
      </w:r>
      <w:proofErr w:type="spellStart"/>
      <w:r w:rsidRPr="00840E1B">
        <w:rPr>
          <w:bCs/>
          <w:sz w:val="28"/>
          <w:szCs w:val="28"/>
        </w:rPr>
        <w:t>році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обов’язково</w:t>
      </w:r>
      <w:proofErr w:type="spellEnd"/>
      <w:r w:rsidRPr="00840E1B">
        <w:rPr>
          <w:bCs/>
          <w:sz w:val="28"/>
          <w:szCs w:val="28"/>
        </w:rPr>
        <w:t xml:space="preserve"> і </w:t>
      </w:r>
      <w:proofErr w:type="spellStart"/>
      <w:r w:rsidRPr="00840E1B">
        <w:rPr>
          <w:bCs/>
          <w:sz w:val="28"/>
          <w:szCs w:val="28"/>
        </w:rPr>
        <w:t>вчасно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доводити</w:t>
      </w:r>
      <w:proofErr w:type="spellEnd"/>
      <w:r w:rsidRPr="00840E1B">
        <w:rPr>
          <w:bCs/>
          <w:sz w:val="28"/>
          <w:szCs w:val="28"/>
        </w:rPr>
        <w:t xml:space="preserve"> до </w:t>
      </w:r>
      <w:proofErr w:type="spellStart"/>
      <w:r w:rsidRPr="00840E1B">
        <w:rPr>
          <w:bCs/>
          <w:sz w:val="28"/>
          <w:szCs w:val="28"/>
        </w:rPr>
        <w:t>відома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батьків</w:t>
      </w:r>
      <w:proofErr w:type="spellEnd"/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учнів</w:t>
      </w:r>
      <w:proofErr w:type="spellEnd"/>
      <w:r w:rsidRPr="00840E1B">
        <w:rPr>
          <w:bCs/>
          <w:sz w:val="28"/>
          <w:szCs w:val="28"/>
        </w:rPr>
        <w:t>;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840E1B">
        <w:rPr>
          <w:bCs/>
          <w:sz w:val="28"/>
          <w:szCs w:val="28"/>
        </w:rPr>
        <w:t>формува</w:t>
      </w:r>
      <w:proofErr w:type="spellEnd"/>
      <w:r w:rsidRPr="00840E1B">
        <w:rPr>
          <w:bCs/>
          <w:sz w:val="28"/>
          <w:szCs w:val="28"/>
          <w:lang w:val="uk-UA"/>
        </w:rPr>
        <w:t xml:space="preserve">ти </w:t>
      </w:r>
      <w:proofErr w:type="gramStart"/>
      <w:r w:rsidRPr="00840E1B">
        <w:rPr>
          <w:bCs/>
          <w:sz w:val="28"/>
          <w:szCs w:val="28"/>
          <w:lang w:val="uk-UA"/>
        </w:rPr>
        <w:t>у</w:t>
      </w:r>
      <w:proofErr w:type="gram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закладі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творч</w:t>
      </w:r>
      <w:r w:rsidRPr="00840E1B">
        <w:rPr>
          <w:bCs/>
          <w:sz w:val="28"/>
          <w:szCs w:val="28"/>
          <w:lang w:val="uk-UA"/>
        </w:rPr>
        <w:t>ий</w:t>
      </w:r>
      <w:proofErr w:type="spellEnd"/>
      <w:r w:rsidRPr="00840E1B">
        <w:rPr>
          <w:bCs/>
          <w:sz w:val="28"/>
          <w:szCs w:val="28"/>
        </w:rPr>
        <w:t xml:space="preserve">, конкурентно і </w:t>
      </w:r>
      <w:proofErr w:type="spellStart"/>
      <w:r w:rsidRPr="00840E1B">
        <w:rPr>
          <w:bCs/>
          <w:sz w:val="28"/>
          <w:szCs w:val="28"/>
        </w:rPr>
        <w:t>водночас</w:t>
      </w:r>
      <w:proofErr w:type="spellEnd"/>
      <w:r w:rsidRPr="00840E1B">
        <w:rPr>
          <w:bCs/>
          <w:sz w:val="28"/>
          <w:szCs w:val="28"/>
        </w:rPr>
        <w:t xml:space="preserve"> позитивно </w:t>
      </w:r>
      <w:proofErr w:type="spellStart"/>
      <w:r w:rsidRPr="00840E1B">
        <w:rPr>
          <w:bCs/>
          <w:sz w:val="28"/>
          <w:szCs w:val="28"/>
        </w:rPr>
        <w:t>налаштован</w:t>
      </w:r>
      <w:r w:rsidRPr="00840E1B">
        <w:rPr>
          <w:bCs/>
          <w:sz w:val="28"/>
          <w:szCs w:val="28"/>
          <w:lang w:val="uk-UA"/>
        </w:rPr>
        <w:t>ий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колекти</w:t>
      </w:r>
      <w:proofErr w:type="spellEnd"/>
      <w:r w:rsidRPr="00840E1B">
        <w:rPr>
          <w:bCs/>
          <w:sz w:val="28"/>
          <w:szCs w:val="28"/>
          <w:lang w:val="uk-UA"/>
        </w:rPr>
        <w:t>в учнів</w:t>
      </w:r>
      <w:r w:rsidRPr="00840E1B">
        <w:rPr>
          <w:bCs/>
          <w:sz w:val="28"/>
          <w:szCs w:val="28"/>
        </w:rPr>
        <w:t>;</w:t>
      </w:r>
    </w:p>
    <w:p w:rsidR="00840E1B" w:rsidRPr="00840E1B" w:rsidRDefault="00840E1B" w:rsidP="00840E1B">
      <w:pPr>
        <w:pStyle w:val="a6"/>
        <w:rPr>
          <w:b/>
          <w:bCs/>
          <w:sz w:val="28"/>
          <w:szCs w:val="28"/>
        </w:rPr>
      </w:pPr>
      <w:r w:rsidRPr="00840E1B">
        <w:rPr>
          <w:b/>
          <w:bCs/>
          <w:sz w:val="28"/>
          <w:szCs w:val="28"/>
          <w:lang w:val="uk-UA"/>
        </w:rPr>
        <w:t>КЗ «Методичний центр»:</w:t>
      </w:r>
    </w:p>
    <w:p w:rsidR="00840E1B" w:rsidRPr="00840E1B" w:rsidRDefault="00840E1B" w:rsidP="00840E1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 xml:space="preserve">Інформацію щодо проходження пробного ЗНО та основного висвітлювати на шпальтах газети «Зоря </w:t>
      </w:r>
      <w:proofErr w:type="spellStart"/>
      <w:r w:rsidRPr="00840E1B">
        <w:rPr>
          <w:bCs/>
          <w:sz w:val="28"/>
          <w:szCs w:val="28"/>
          <w:lang w:val="uk-UA"/>
        </w:rPr>
        <w:t>Приазов</w:t>
      </w:r>
      <w:proofErr w:type="spellEnd"/>
      <w:r w:rsidRPr="00840E1B">
        <w:rPr>
          <w:bCs/>
          <w:sz w:val="28"/>
          <w:szCs w:val="28"/>
        </w:rPr>
        <w:t>’</w:t>
      </w:r>
      <w:r w:rsidRPr="00840E1B">
        <w:rPr>
          <w:bCs/>
          <w:sz w:val="28"/>
          <w:szCs w:val="28"/>
          <w:lang w:val="uk-UA"/>
        </w:rPr>
        <w:t>я» та сайтах відділу освіти, КЗ</w:t>
      </w:r>
      <w:r>
        <w:rPr>
          <w:bCs/>
          <w:sz w:val="28"/>
          <w:szCs w:val="28"/>
          <w:lang w:val="uk-UA"/>
        </w:rPr>
        <w:t xml:space="preserve"> </w:t>
      </w:r>
      <w:r w:rsidRPr="00840E1B">
        <w:rPr>
          <w:bCs/>
          <w:sz w:val="28"/>
          <w:szCs w:val="28"/>
          <w:lang w:val="uk-UA"/>
        </w:rPr>
        <w:t>«Методичний центр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Нікольської</w:t>
      </w:r>
      <w:proofErr w:type="spellEnd"/>
      <w:r>
        <w:rPr>
          <w:bCs/>
          <w:sz w:val="28"/>
          <w:szCs w:val="28"/>
          <w:lang w:val="uk-UA"/>
        </w:rPr>
        <w:t xml:space="preserve"> районної ради Донецької області</w:t>
      </w:r>
      <w:r w:rsidRPr="00840E1B">
        <w:rPr>
          <w:bCs/>
          <w:sz w:val="28"/>
          <w:szCs w:val="28"/>
          <w:lang w:val="uk-UA"/>
        </w:rPr>
        <w:t>»</w:t>
      </w:r>
      <w:r w:rsidR="002C03B4">
        <w:rPr>
          <w:bCs/>
          <w:sz w:val="28"/>
          <w:szCs w:val="28"/>
          <w:lang w:val="uk-UA"/>
        </w:rPr>
        <w:t xml:space="preserve"> в мережі </w:t>
      </w:r>
      <w:proofErr w:type="spellStart"/>
      <w:r w:rsidR="002C03B4">
        <w:rPr>
          <w:bCs/>
          <w:sz w:val="28"/>
          <w:szCs w:val="28"/>
          <w:lang w:val="uk-UA"/>
        </w:rPr>
        <w:t>фейсбук</w:t>
      </w:r>
      <w:proofErr w:type="spellEnd"/>
      <w:r w:rsidRPr="00840E1B">
        <w:rPr>
          <w:bCs/>
          <w:sz w:val="28"/>
          <w:szCs w:val="28"/>
          <w:lang w:val="uk-UA"/>
        </w:rPr>
        <w:t xml:space="preserve">. </w:t>
      </w:r>
    </w:p>
    <w:p w:rsidR="00563FE3" w:rsidRDefault="00563FE3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0E1B" w:rsidRDefault="00840E1B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lang w:val="uk-UA"/>
        </w:rPr>
      </w:pPr>
      <w:r w:rsidRPr="00840E1B">
        <w:rPr>
          <w:rFonts w:ascii="Times New Roman" w:hAnsi="Times New Roman" w:cs="Times New Roman"/>
          <w:lang w:val="uk-UA"/>
        </w:rPr>
        <w:t xml:space="preserve">Методист КЗ «Методичний центр 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lang w:val="uk-UA"/>
        </w:rPr>
      </w:pPr>
      <w:proofErr w:type="spellStart"/>
      <w:r w:rsidRPr="00840E1B">
        <w:rPr>
          <w:rFonts w:ascii="Times New Roman" w:hAnsi="Times New Roman" w:cs="Times New Roman"/>
          <w:lang w:val="uk-UA"/>
        </w:rPr>
        <w:t>Нікольської</w:t>
      </w:r>
      <w:proofErr w:type="spellEnd"/>
      <w:r w:rsidRPr="00840E1B">
        <w:rPr>
          <w:rFonts w:ascii="Times New Roman" w:hAnsi="Times New Roman" w:cs="Times New Roman"/>
          <w:lang w:val="uk-UA"/>
        </w:rPr>
        <w:t xml:space="preserve"> районної ради Донецької області»</w:t>
      </w:r>
      <w:r>
        <w:rPr>
          <w:rFonts w:ascii="Times New Roman" w:hAnsi="Times New Roman" w:cs="Times New Roman"/>
          <w:lang w:val="uk-UA"/>
        </w:rPr>
        <w:t xml:space="preserve">                                        С.С. Бандура</w:t>
      </w:r>
    </w:p>
    <w:sectPr w:rsidR="00840E1B" w:rsidRPr="00840E1B" w:rsidSect="008E27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4301"/>
    <w:multiLevelType w:val="hybridMultilevel"/>
    <w:tmpl w:val="72DA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B"/>
    <w:rsid w:val="00061D8B"/>
    <w:rsid w:val="00073E9D"/>
    <w:rsid w:val="0009452F"/>
    <w:rsid w:val="000C71DD"/>
    <w:rsid w:val="000D722C"/>
    <w:rsid w:val="000E30BA"/>
    <w:rsid w:val="000F0F68"/>
    <w:rsid w:val="000F6F44"/>
    <w:rsid w:val="001312DB"/>
    <w:rsid w:val="001B5110"/>
    <w:rsid w:val="002571FF"/>
    <w:rsid w:val="002C03B4"/>
    <w:rsid w:val="002F2AEB"/>
    <w:rsid w:val="00386C75"/>
    <w:rsid w:val="003A317C"/>
    <w:rsid w:val="003D63C9"/>
    <w:rsid w:val="003E5DC8"/>
    <w:rsid w:val="00463CF4"/>
    <w:rsid w:val="005007C4"/>
    <w:rsid w:val="0054738A"/>
    <w:rsid w:val="00563FE3"/>
    <w:rsid w:val="006C63FA"/>
    <w:rsid w:val="006D0C5F"/>
    <w:rsid w:val="00717FCC"/>
    <w:rsid w:val="007213EA"/>
    <w:rsid w:val="007556C1"/>
    <w:rsid w:val="00770C4A"/>
    <w:rsid w:val="00774677"/>
    <w:rsid w:val="007C68A5"/>
    <w:rsid w:val="00840E1B"/>
    <w:rsid w:val="00843EB3"/>
    <w:rsid w:val="008634A9"/>
    <w:rsid w:val="008A4443"/>
    <w:rsid w:val="008C1A07"/>
    <w:rsid w:val="008C2683"/>
    <w:rsid w:val="008D27F1"/>
    <w:rsid w:val="008E27D3"/>
    <w:rsid w:val="00976521"/>
    <w:rsid w:val="00984378"/>
    <w:rsid w:val="009A194A"/>
    <w:rsid w:val="00AA1CD2"/>
    <w:rsid w:val="00AA2BA8"/>
    <w:rsid w:val="00B15767"/>
    <w:rsid w:val="00B35CAF"/>
    <w:rsid w:val="00B365F2"/>
    <w:rsid w:val="00B469D5"/>
    <w:rsid w:val="00B5365A"/>
    <w:rsid w:val="00B84F87"/>
    <w:rsid w:val="00B9228F"/>
    <w:rsid w:val="00BC4B14"/>
    <w:rsid w:val="00C16F24"/>
    <w:rsid w:val="00C55849"/>
    <w:rsid w:val="00C6451E"/>
    <w:rsid w:val="00C75EFE"/>
    <w:rsid w:val="00CA0759"/>
    <w:rsid w:val="00D0690E"/>
    <w:rsid w:val="00D93AC4"/>
    <w:rsid w:val="00DB2A54"/>
    <w:rsid w:val="00DE79AD"/>
    <w:rsid w:val="00DF287C"/>
    <w:rsid w:val="00E06DA7"/>
    <w:rsid w:val="00E14157"/>
    <w:rsid w:val="00E62C6F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6C1"/>
    <w:rPr>
      <w:color w:val="0000FF"/>
      <w:u w:val="single"/>
    </w:rPr>
  </w:style>
  <w:style w:type="paragraph" w:styleId="a8">
    <w:name w:val="No Spacing"/>
    <w:uiPriority w:val="1"/>
    <w:qFormat/>
    <w:rsid w:val="007556C1"/>
    <w:pPr>
      <w:spacing w:after="0" w:line="240" w:lineRule="auto"/>
    </w:pPr>
  </w:style>
  <w:style w:type="character" w:styleId="a9">
    <w:name w:val="Strong"/>
    <w:qFormat/>
    <w:rsid w:val="00840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6C1"/>
    <w:rPr>
      <w:color w:val="0000FF"/>
      <w:u w:val="single"/>
    </w:rPr>
  </w:style>
  <w:style w:type="paragraph" w:styleId="a8">
    <w:name w:val="No Spacing"/>
    <w:uiPriority w:val="1"/>
    <w:qFormat/>
    <w:rsid w:val="007556C1"/>
    <w:pPr>
      <w:spacing w:after="0" w:line="240" w:lineRule="auto"/>
    </w:pPr>
  </w:style>
  <w:style w:type="character" w:styleId="a9">
    <w:name w:val="Strong"/>
    <w:qFormat/>
    <w:rsid w:val="0084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hyperlink" Target="http://osvita.ua/school/rating/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 та література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23</c:v>
                </c:pt>
                <c:pt idx="3">
                  <c:v>24</c:v>
                </c:pt>
                <c:pt idx="4">
                  <c:v>18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6</c:v>
                </c:pt>
                <c:pt idx="2">
                  <c:v>12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0.09</c:v>
                </c:pt>
                <c:pt idx="1">
                  <c:v>0.26</c:v>
                </c:pt>
                <c:pt idx="2">
                  <c:v>0.23</c:v>
                </c:pt>
                <c:pt idx="3">
                  <c:v>0.24</c:v>
                </c:pt>
                <c:pt idx="4">
                  <c:v>0.12</c:v>
                </c:pt>
                <c:pt idx="5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0.06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</c:v>
                </c:pt>
                <c:pt idx="4">
                  <c:v>0.15</c:v>
                </c:pt>
                <c:pt idx="5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0.11</c:v>
                </c:pt>
                <c:pt idx="1">
                  <c:v>0.17</c:v>
                </c:pt>
                <c:pt idx="2">
                  <c:v>0.23</c:v>
                </c:pt>
                <c:pt idx="3">
                  <c:v>0.24</c:v>
                </c:pt>
                <c:pt idx="4">
                  <c:v>0.18</c:v>
                </c:pt>
                <c:pt idx="5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84288"/>
        <c:axId val="145896576"/>
      </c:barChart>
      <c:catAx>
        <c:axId val="14588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96576"/>
        <c:crosses val="autoZero"/>
        <c:auto val="1"/>
        <c:lblAlgn val="ctr"/>
        <c:lblOffset val="100"/>
        <c:noMultiLvlLbl val="0"/>
      </c:catAx>
      <c:valAx>
        <c:axId val="145896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88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Історія України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34</c:v>
                </c:pt>
                <c:pt idx="2">
                  <c:v>18</c:v>
                </c:pt>
                <c:pt idx="3">
                  <c:v>18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0.29499999999999998</c:v>
                </c:pt>
                <c:pt idx="1">
                  <c:v>0.31</c:v>
                </c:pt>
                <c:pt idx="2">
                  <c:v>0.19</c:v>
                </c:pt>
                <c:pt idx="3" formatCode="0.00%">
                  <c:v>0.125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0.38</c:v>
                </c:pt>
                <c:pt idx="1">
                  <c:v>0.33</c:v>
                </c:pt>
                <c:pt idx="2">
                  <c:v>0.12</c:v>
                </c:pt>
                <c:pt idx="3">
                  <c:v>0.14000000000000001</c:v>
                </c:pt>
                <c:pt idx="4">
                  <c:v>0.03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76128"/>
        <c:axId val="146577664"/>
      </c:barChart>
      <c:catAx>
        <c:axId val="14657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77664"/>
        <c:crosses val="autoZero"/>
        <c:auto val="1"/>
        <c:lblAlgn val="ctr"/>
        <c:lblOffset val="100"/>
        <c:noMultiLvlLbl val="0"/>
      </c:catAx>
      <c:valAx>
        <c:axId val="146577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657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33</c:v>
                </c:pt>
                <c:pt idx="2">
                  <c:v>12</c:v>
                </c:pt>
                <c:pt idx="3">
                  <c:v>14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Фізика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Хімія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Біологія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10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Географія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6</c:v>
                </c:pt>
                <c:pt idx="3">
                  <c:v>12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A49-0ED3-44FF-896B-F8A8BF82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2018-12-07T07:56:00Z</dcterms:created>
  <dcterms:modified xsi:type="dcterms:W3CDTF">2018-12-20T13:05:00Z</dcterms:modified>
</cp:coreProperties>
</file>